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828AE" w14:textId="72D842DD" w:rsidR="005A68BC" w:rsidRPr="003134BE" w:rsidRDefault="00F30058" w:rsidP="002D49EE">
      <w:pPr>
        <w:shd w:val="clear" w:color="auto" w:fill="000000"/>
        <w:spacing w:after="0"/>
        <w:ind w:left="10" w:right="2"/>
        <w:jc w:val="center"/>
        <w:rPr>
          <w:lang w:val="fr-CA"/>
        </w:rPr>
      </w:pPr>
      <w:r w:rsidRPr="003134BE">
        <w:rPr>
          <w:b/>
          <w:color w:val="FFFFFF"/>
          <w:sz w:val="32"/>
          <w:lang w:val="fr-CA"/>
        </w:rPr>
        <w:t>ACTION COLLECTIVE RELATIVE À LA CONSOMMATION DE CARBURANT DE VÉHICULES FORD</w:t>
      </w:r>
      <w:r w:rsidR="0027046E" w:rsidRPr="003134BE">
        <w:rPr>
          <w:b/>
          <w:color w:val="FFFFFF"/>
          <w:sz w:val="32"/>
          <w:lang w:val="fr-CA"/>
        </w:rPr>
        <w:t xml:space="preserve"> </w:t>
      </w:r>
    </w:p>
    <w:p w14:paraId="53CD477E" w14:textId="261BF8FB" w:rsidR="005A68BC" w:rsidRPr="0006023A" w:rsidRDefault="00280E0D" w:rsidP="002D49EE">
      <w:pPr>
        <w:shd w:val="clear" w:color="auto" w:fill="000000"/>
        <w:spacing w:after="0"/>
        <w:ind w:left="10" w:right="2"/>
        <w:jc w:val="center"/>
        <w:rPr>
          <w:lang w:val="fr-CA"/>
        </w:rPr>
      </w:pPr>
      <w:r w:rsidRPr="0006023A">
        <w:rPr>
          <w:b/>
          <w:color w:val="FFFFFF"/>
          <w:sz w:val="32"/>
          <w:lang w:val="fr-CA"/>
        </w:rPr>
        <w:t>AVIS DE CERTIFICATION</w:t>
      </w:r>
    </w:p>
    <w:tbl>
      <w:tblPr>
        <w:tblStyle w:val="TableGrid"/>
        <w:tblW w:w="9414" w:type="dxa"/>
        <w:tblInd w:w="0" w:type="dxa"/>
        <w:tblLook w:val="04A0" w:firstRow="1" w:lastRow="0" w:firstColumn="1" w:lastColumn="0" w:noHBand="0" w:noVBand="1"/>
      </w:tblPr>
      <w:tblGrid>
        <w:gridCol w:w="1728"/>
        <w:gridCol w:w="7686"/>
      </w:tblGrid>
      <w:tr w:rsidR="00685850" w:rsidRPr="009431E3" w14:paraId="408DA9DF" w14:textId="77777777" w:rsidTr="00455B88">
        <w:trPr>
          <w:trHeight w:val="104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065FB" w14:textId="77777777" w:rsidR="00F854BC" w:rsidRPr="0006023A" w:rsidRDefault="00F854BC" w:rsidP="00F854BC">
            <w:pPr>
              <w:spacing w:after="0"/>
              <w:ind w:left="0" w:firstLine="0"/>
              <w:jc w:val="left"/>
              <w:rPr>
                <w:b/>
                <w:lang w:val="fr-CA"/>
              </w:rPr>
            </w:pPr>
          </w:p>
          <w:p w14:paraId="053C9408" w14:textId="58F9DC20" w:rsidR="005A68BC" w:rsidRPr="0006023A" w:rsidRDefault="000C3B43" w:rsidP="002D49EE">
            <w:pPr>
              <w:spacing w:after="0"/>
              <w:ind w:left="0" w:firstLine="0"/>
              <w:jc w:val="left"/>
              <w:rPr>
                <w:lang w:val="fr-CA"/>
              </w:rPr>
            </w:pPr>
            <w:r w:rsidRPr="0006023A">
              <w:rPr>
                <w:b/>
                <w:lang w:val="fr-CA"/>
              </w:rPr>
              <w:t>À toutes les personnes</w:t>
            </w:r>
            <w:r w:rsidR="0027046E" w:rsidRPr="0006023A">
              <w:rPr>
                <w:b/>
                <w:lang w:val="fr-CA"/>
              </w:rPr>
              <w:t> </w:t>
            </w:r>
            <w:r w:rsidRPr="0006023A">
              <w:rPr>
                <w:b/>
                <w:lang w:val="fr-CA"/>
              </w:rPr>
              <w:t>: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4FAC99DD" w14:textId="77777777" w:rsidR="00F854BC" w:rsidRPr="003134BE" w:rsidRDefault="00F854BC" w:rsidP="00F854BC">
            <w:pPr>
              <w:spacing w:after="0"/>
              <w:ind w:left="0" w:right="58" w:firstLine="0"/>
              <w:jc w:val="left"/>
              <w:rPr>
                <w:lang w:val="fr-CA"/>
              </w:rPr>
            </w:pPr>
          </w:p>
          <w:p w14:paraId="0007A691" w14:textId="0DE29B0B" w:rsidR="005A68BC" w:rsidRPr="003134BE" w:rsidRDefault="008965D6" w:rsidP="002D49EE">
            <w:pPr>
              <w:spacing w:after="0"/>
              <w:ind w:left="0" w:right="58" w:firstLine="0"/>
              <w:jc w:val="left"/>
              <w:rPr>
                <w:lang w:val="fr-CA"/>
              </w:rPr>
            </w:pPr>
            <w:r w:rsidRPr="003134BE">
              <w:rPr>
                <w:lang w:val="fr-CA"/>
              </w:rPr>
              <w:t>Qui ont acheté ou lou</w:t>
            </w:r>
            <w:r w:rsidR="00334BFE" w:rsidRPr="003134BE">
              <w:rPr>
                <w:lang w:val="fr-CA"/>
              </w:rPr>
              <w:t xml:space="preserve">é un véhicule Ford </w:t>
            </w:r>
            <w:r w:rsidR="00BE0733">
              <w:rPr>
                <w:lang w:val="fr-CA"/>
              </w:rPr>
              <w:t xml:space="preserve">neuf </w:t>
            </w:r>
            <w:r w:rsidR="00334BFE" w:rsidRPr="003134BE">
              <w:rPr>
                <w:lang w:val="fr-CA"/>
              </w:rPr>
              <w:t>de l</w:t>
            </w:r>
            <w:r w:rsidR="0027046E" w:rsidRPr="003134BE">
              <w:rPr>
                <w:lang w:val="fr-CA"/>
              </w:rPr>
              <w:t>’</w:t>
            </w:r>
            <w:r w:rsidRPr="003134BE">
              <w:rPr>
                <w:lang w:val="fr-CA"/>
              </w:rPr>
              <w:t>année</w:t>
            </w:r>
            <w:r w:rsidR="00BE0733">
              <w:rPr>
                <w:lang w:val="fr-CA"/>
              </w:rPr>
              <w:t>-</w:t>
            </w:r>
            <w:r w:rsidRPr="003134BE">
              <w:rPr>
                <w:lang w:val="fr-CA"/>
              </w:rPr>
              <w:t>modèle</w:t>
            </w:r>
            <w:r w:rsidR="0027046E" w:rsidRPr="003134BE">
              <w:rPr>
                <w:lang w:val="fr-CA"/>
              </w:rPr>
              <w:t> </w:t>
            </w:r>
            <w:r w:rsidRPr="003134BE">
              <w:rPr>
                <w:lang w:val="fr-CA"/>
              </w:rPr>
              <w:t>2013 ou 2014 au Canada (« </w:t>
            </w:r>
            <w:r w:rsidR="00900CF9" w:rsidRPr="003134BE">
              <w:rPr>
                <w:b/>
                <w:lang w:val="fr-CA"/>
              </w:rPr>
              <w:t>Membres du G</w:t>
            </w:r>
            <w:r w:rsidRPr="003134BE">
              <w:rPr>
                <w:b/>
                <w:lang w:val="fr-CA"/>
              </w:rPr>
              <w:t>roupe</w:t>
            </w:r>
            <w:r w:rsidRPr="003134BE">
              <w:rPr>
                <w:lang w:val="fr-CA"/>
              </w:rPr>
              <w:t> »).</w:t>
            </w:r>
          </w:p>
        </w:tc>
      </w:tr>
      <w:tr w:rsidR="00685850" w:rsidRPr="009431E3" w14:paraId="2FE09D9B" w14:textId="77777777">
        <w:trPr>
          <w:trHeight w:val="31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A9566" w14:textId="068B34D0" w:rsidR="005A68BC" w:rsidRPr="0006023A" w:rsidRDefault="00A7493C" w:rsidP="002D49EE">
            <w:pPr>
              <w:spacing w:after="0"/>
              <w:ind w:left="0" w:firstLine="0"/>
              <w:jc w:val="left"/>
              <w:rPr>
                <w:lang w:val="fr-CA"/>
              </w:rPr>
            </w:pPr>
            <w:r w:rsidRPr="0006023A">
              <w:rPr>
                <w:b/>
                <w:lang w:val="fr-CA"/>
              </w:rPr>
              <w:t>Action collective</w:t>
            </w:r>
            <w:r w:rsidR="0027046E" w:rsidRPr="0006023A">
              <w:rPr>
                <w:b/>
                <w:lang w:val="fr-CA"/>
              </w:rPr>
              <w:t> </w:t>
            </w:r>
            <w:r w:rsidRPr="0006023A">
              <w:rPr>
                <w:b/>
                <w:lang w:val="fr-CA"/>
              </w:rPr>
              <w:t>: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232D0" w14:textId="0EFA5E65" w:rsidR="00C4482E" w:rsidRPr="003134BE" w:rsidRDefault="00E74D89" w:rsidP="002D49EE">
            <w:pPr>
              <w:spacing w:after="0"/>
              <w:ind w:left="0" w:right="54" w:firstLine="0"/>
              <w:rPr>
                <w:lang w:val="fr-CA"/>
              </w:rPr>
            </w:pPr>
            <w:r w:rsidRPr="003134BE">
              <w:rPr>
                <w:lang w:val="fr-CA"/>
              </w:rPr>
              <w:t>En janvier</w:t>
            </w:r>
            <w:r w:rsidR="0027046E" w:rsidRPr="003134BE">
              <w:rPr>
                <w:lang w:val="fr-CA"/>
              </w:rPr>
              <w:t> </w:t>
            </w:r>
            <w:r w:rsidRPr="003134BE">
              <w:rPr>
                <w:lang w:val="fr-CA"/>
              </w:rPr>
              <w:t xml:space="preserve">2016, une action collective a été </w:t>
            </w:r>
            <w:r w:rsidR="00FF68E0">
              <w:rPr>
                <w:lang w:val="fr-CA"/>
              </w:rPr>
              <w:t>intentée</w:t>
            </w:r>
            <w:r w:rsidR="00FF68E0" w:rsidRPr="003134BE">
              <w:rPr>
                <w:lang w:val="fr-CA"/>
              </w:rPr>
              <w:t xml:space="preserve"> </w:t>
            </w:r>
            <w:r w:rsidRPr="003134BE">
              <w:rPr>
                <w:lang w:val="fr-CA"/>
              </w:rPr>
              <w:t xml:space="preserve">contre Ford </w:t>
            </w:r>
            <w:proofErr w:type="spellStart"/>
            <w:r w:rsidRPr="003134BE">
              <w:rPr>
                <w:lang w:val="fr-CA"/>
              </w:rPr>
              <w:t>Motor</w:t>
            </w:r>
            <w:proofErr w:type="spellEnd"/>
            <w:r w:rsidRPr="003134BE">
              <w:rPr>
                <w:lang w:val="fr-CA"/>
              </w:rPr>
              <w:t xml:space="preserve"> </w:t>
            </w:r>
            <w:proofErr w:type="spellStart"/>
            <w:r w:rsidRPr="003134BE">
              <w:rPr>
                <w:lang w:val="fr-CA"/>
              </w:rPr>
              <w:t>Company</w:t>
            </w:r>
            <w:proofErr w:type="spellEnd"/>
            <w:r w:rsidRPr="003134BE">
              <w:rPr>
                <w:lang w:val="fr-CA"/>
              </w:rPr>
              <w:t xml:space="preserve">, Ford du Canada Limitée et </w:t>
            </w:r>
            <w:proofErr w:type="spellStart"/>
            <w:r w:rsidRPr="003134BE">
              <w:rPr>
                <w:lang w:val="fr-CA"/>
              </w:rPr>
              <w:t>Yonge-Steeles</w:t>
            </w:r>
            <w:proofErr w:type="spellEnd"/>
            <w:r w:rsidRPr="003134BE">
              <w:rPr>
                <w:lang w:val="fr-CA"/>
              </w:rPr>
              <w:t xml:space="preserve"> Ford Lincoln Sales Limited (collectivement « </w:t>
            </w:r>
            <w:r w:rsidRPr="003134BE">
              <w:rPr>
                <w:b/>
                <w:lang w:val="fr-CA"/>
              </w:rPr>
              <w:t>Ford</w:t>
            </w:r>
            <w:r w:rsidRPr="003134BE">
              <w:rPr>
                <w:lang w:val="fr-CA"/>
              </w:rPr>
              <w:t> »), alléguant que Ford avait présenté au public des renseignements inexacts et trompeurs sur la consommation de carburant de certains véhicules Ford neufs des années</w:t>
            </w:r>
            <w:r w:rsidR="00BE0733">
              <w:rPr>
                <w:lang w:val="fr-CA"/>
              </w:rPr>
              <w:t>-</w:t>
            </w:r>
            <w:r w:rsidRPr="003134BE">
              <w:rPr>
                <w:lang w:val="fr-CA"/>
              </w:rPr>
              <w:t>modèles</w:t>
            </w:r>
            <w:r w:rsidR="0027046E" w:rsidRPr="003134BE">
              <w:rPr>
                <w:lang w:val="fr-CA"/>
              </w:rPr>
              <w:t> </w:t>
            </w:r>
            <w:r w:rsidRPr="003134BE">
              <w:rPr>
                <w:lang w:val="fr-CA"/>
              </w:rPr>
              <w:t xml:space="preserve">2013 et 2014, en violation de la </w:t>
            </w:r>
            <w:r w:rsidRPr="0066308A">
              <w:rPr>
                <w:i/>
                <w:iCs/>
                <w:lang w:val="fr-CA"/>
              </w:rPr>
              <w:t>Loi sur la concurrence</w:t>
            </w:r>
            <w:r w:rsidRPr="003134BE">
              <w:rPr>
                <w:lang w:val="fr-CA"/>
              </w:rPr>
              <w:t xml:space="preserve"> (LRC (1985), c</w:t>
            </w:r>
            <w:r w:rsidR="0027046E" w:rsidRPr="003134BE">
              <w:rPr>
                <w:lang w:val="fr-CA"/>
              </w:rPr>
              <w:t> </w:t>
            </w:r>
            <w:r w:rsidRPr="003134BE">
              <w:rPr>
                <w:lang w:val="fr-CA"/>
              </w:rPr>
              <w:t>C-34) et des lois provinciales sur la protection des consommateurs.</w:t>
            </w:r>
            <w:r w:rsidR="00B62C27" w:rsidRPr="003134BE">
              <w:rPr>
                <w:lang w:val="fr-CA"/>
              </w:rPr>
              <w:t xml:space="preserve"> </w:t>
            </w:r>
            <w:r w:rsidR="000B6019" w:rsidRPr="003134BE">
              <w:rPr>
                <w:lang w:val="fr-CA"/>
              </w:rPr>
              <w:t xml:space="preserve">Cette action collective vise les </w:t>
            </w:r>
            <w:r w:rsidR="00BE0733">
              <w:rPr>
                <w:lang w:val="fr-CA"/>
              </w:rPr>
              <w:t>individus</w:t>
            </w:r>
            <w:r w:rsidR="000B6019" w:rsidRPr="003134BE">
              <w:rPr>
                <w:lang w:val="fr-CA"/>
              </w:rPr>
              <w:t xml:space="preserve"> et/ou les sociétés qui ont acheté ou loué un  véhicule Ford</w:t>
            </w:r>
            <w:r w:rsidR="00BE0733">
              <w:rPr>
                <w:lang w:val="fr-CA"/>
              </w:rPr>
              <w:t xml:space="preserve"> neuf</w:t>
            </w:r>
            <w:r w:rsidR="000B6019" w:rsidRPr="003134BE">
              <w:rPr>
                <w:lang w:val="fr-CA"/>
              </w:rPr>
              <w:t xml:space="preserve"> de l</w:t>
            </w:r>
            <w:r w:rsidR="0027046E" w:rsidRPr="003134BE">
              <w:rPr>
                <w:lang w:val="fr-CA"/>
              </w:rPr>
              <w:t>’</w:t>
            </w:r>
            <w:r w:rsidR="000B6019" w:rsidRPr="003134BE">
              <w:rPr>
                <w:lang w:val="fr-CA"/>
              </w:rPr>
              <w:t>année</w:t>
            </w:r>
            <w:r w:rsidR="00BE0733">
              <w:rPr>
                <w:lang w:val="fr-CA"/>
              </w:rPr>
              <w:t>-</w:t>
            </w:r>
            <w:r w:rsidR="000B6019" w:rsidRPr="003134BE">
              <w:rPr>
                <w:lang w:val="fr-CA"/>
              </w:rPr>
              <w:t>modèle</w:t>
            </w:r>
            <w:r w:rsidR="0027046E" w:rsidRPr="003134BE">
              <w:rPr>
                <w:lang w:val="fr-CA"/>
              </w:rPr>
              <w:t> </w:t>
            </w:r>
            <w:r w:rsidR="000B6019" w:rsidRPr="003134BE">
              <w:rPr>
                <w:lang w:val="fr-CA"/>
              </w:rPr>
              <w:t>2013 ou 2014 au Canada.</w:t>
            </w:r>
            <w:r w:rsidR="00B62C27" w:rsidRPr="003134BE">
              <w:rPr>
                <w:lang w:val="fr-CA"/>
              </w:rPr>
              <w:t xml:space="preserve"> </w:t>
            </w:r>
            <w:r w:rsidR="00AA6A97" w:rsidRPr="003134BE">
              <w:rPr>
                <w:lang w:val="fr-CA"/>
              </w:rPr>
              <w:t>Robins Appleby LLP et McKenzie Lake Lawyers LLP travaillent en collaboration à titre d</w:t>
            </w:r>
            <w:r w:rsidR="0027046E" w:rsidRPr="003134BE">
              <w:rPr>
                <w:lang w:val="fr-CA"/>
              </w:rPr>
              <w:t>’</w:t>
            </w:r>
            <w:r w:rsidR="00AA6A97" w:rsidRPr="003134BE">
              <w:rPr>
                <w:lang w:val="fr-CA"/>
              </w:rPr>
              <w:t>avocats d</w:t>
            </w:r>
            <w:r w:rsidR="00900CF9" w:rsidRPr="003134BE">
              <w:rPr>
                <w:lang w:val="fr-CA"/>
              </w:rPr>
              <w:t>u G</w:t>
            </w:r>
            <w:r w:rsidR="00AA6A97" w:rsidRPr="003134BE">
              <w:rPr>
                <w:lang w:val="fr-CA"/>
              </w:rPr>
              <w:t>roupe.</w:t>
            </w:r>
            <w:r w:rsidR="00B62C27" w:rsidRPr="003134BE">
              <w:rPr>
                <w:lang w:val="fr-CA"/>
              </w:rPr>
              <w:t xml:space="preserve">  </w:t>
            </w:r>
          </w:p>
          <w:p w14:paraId="1964175A" w14:textId="77777777" w:rsidR="005A68BC" w:rsidRPr="003134BE" w:rsidRDefault="005A68BC" w:rsidP="002D49EE">
            <w:pPr>
              <w:spacing w:after="0"/>
              <w:ind w:left="0" w:right="54" w:firstLine="0"/>
              <w:rPr>
                <w:lang w:val="fr-CA"/>
              </w:rPr>
            </w:pPr>
          </w:p>
        </w:tc>
      </w:tr>
      <w:tr w:rsidR="00685850" w:rsidRPr="009431E3" w14:paraId="1E56A103" w14:textId="77777777">
        <w:trPr>
          <w:trHeight w:val="511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08D7" w14:textId="52974685" w:rsidR="005A68BC" w:rsidRPr="0006023A" w:rsidRDefault="0027046E" w:rsidP="002D49EE">
            <w:pPr>
              <w:spacing w:after="0"/>
              <w:ind w:left="0" w:firstLine="0"/>
              <w:jc w:val="left"/>
              <w:rPr>
                <w:lang w:val="fr-CA"/>
              </w:rPr>
            </w:pPr>
            <w:r w:rsidRPr="0006023A">
              <w:rPr>
                <w:b/>
                <w:lang w:val="fr-CA"/>
              </w:rPr>
              <w:t>Certification</w:t>
            </w:r>
            <w:r w:rsidR="00967C89">
              <w:rPr>
                <w:b/>
                <w:lang w:val="fr-CA"/>
              </w:rPr>
              <w:t> :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F0F86" w14:textId="6BF0E1A3" w:rsidR="0074005C" w:rsidRPr="003134BE" w:rsidRDefault="003831E6" w:rsidP="002D49EE">
            <w:pPr>
              <w:spacing w:after="0"/>
              <w:ind w:left="0" w:firstLine="0"/>
              <w:rPr>
                <w:lang w:val="fr-CA"/>
              </w:rPr>
            </w:pPr>
            <w:r w:rsidRPr="003134BE">
              <w:rPr>
                <w:lang w:val="fr-CA"/>
              </w:rPr>
              <w:t>Le 20</w:t>
            </w:r>
            <w:r w:rsidR="0027046E" w:rsidRPr="003134BE">
              <w:rPr>
                <w:lang w:val="fr-CA"/>
              </w:rPr>
              <w:t> </w:t>
            </w:r>
            <w:r w:rsidRPr="003134BE">
              <w:rPr>
                <w:lang w:val="fr-CA"/>
              </w:rPr>
              <w:t>décembre</w:t>
            </w:r>
            <w:r w:rsidR="0027046E" w:rsidRPr="003134BE">
              <w:rPr>
                <w:lang w:val="fr-CA"/>
              </w:rPr>
              <w:t> </w:t>
            </w:r>
            <w:r w:rsidRPr="003134BE">
              <w:rPr>
                <w:lang w:val="fr-CA"/>
              </w:rPr>
              <w:t>2018, l</w:t>
            </w:r>
            <w:r w:rsidR="0027046E" w:rsidRPr="003134BE">
              <w:rPr>
                <w:lang w:val="fr-CA"/>
              </w:rPr>
              <w:t>’</w:t>
            </w:r>
            <w:r w:rsidRPr="003134BE">
              <w:rPr>
                <w:lang w:val="fr-CA"/>
              </w:rPr>
              <w:t>action a été certifiée par l</w:t>
            </w:r>
            <w:r w:rsidR="0027046E" w:rsidRPr="003134BE">
              <w:rPr>
                <w:lang w:val="fr-CA"/>
              </w:rPr>
              <w:t>’</w:t>
            </w:r>
            <w:r w:rsidRPr="003134BE">
              <w:rPr>
                <w:lang w:val="fr-CA"/>
              </w:rPr>
              <w:t>honorable juge Morgan de la Cour supérieure de justice de l</w:t>
            </w:r>
            <w:r w:rsidR="0027046E" w:rsidRPr="003134BE">
              <w:rPr>
                <w:lang w:val="fr-CA"/>
              </w:rPr>
              <w:t>’</w:t>
            </w:r>
            <w:r w:rsidRPr="003134BE">
              <w:rPr>
                <w:lang w:val="fr-CA"/>
              </w:rPr>
              <w:t xml:space="preserve">Ontario au nom de tous les </w:t>
            </w:r>
            <w:r w:rsidR="007F5663">
              <w:rPr>
                <w:lang w:val="fr-CA"/>
              </w:rPr>
              <w:t>individus</w:t>
            </w:r>
            <w:r w:rsidRPr="003134BE">
              <w:rPr>
                <w:lang w:val="fr-CA"/>
              </w:rPr>
              <w:t xml:space="preserve"> et/ou </w:t>
            </w:r>
            <w:r w:rsidR="00376786">
              <w:rPr>
                <w:lang w:val="fr-CA"/>
              </w:rPr>
              <w:t xml:space="preserve">les </w:t>
            </w:r>
            <w:r w:rsidRPr="003134BE">
              <w:rPr>
                <w:lang w:val="fr-CA"/>
              </w:rPr>
              <w:t xml:space="preserve">sociétés qui ont acheté ou loué un véhicule Ford </w:t>
            </w:r>
            <w:r w:rsidR="00376786">
              <w:rPr>
                <w:lang w:val="fr-CA"/>
              </w:rPr>
              <w:t xml:space="preserve">neuf </w:t>
            </w:r>
            <w:r w:rsidRPr="003134BE">
              <w:rPr>
                <w:lang w:val="fr-CA"/>
              </w:rPr>
              <w:t>de l</w:t>
            </w:r>
            <w:r w:rsidR="0027046E" w:rsidRPr="003134BE">
              <w:rPr>
                <w:lang w:val="fr-CA"/>
              </w:rPr>
              <w:t>’</w:t>
            </w:r>
            <w:r w:rsidRPr="003134BE">
              <w:rPr>
                <w:lang w:val="fr-CA"/>
              </w:rPr>
              <w:t>année</w:t>
            </w:r>
            <w:r w:rsidR="00376786">
              <w:rPr>
                <w:lang w:val="fr-CA"/>
              </w:rPr>
              <w:t>-</w:t>
            </w:r>
            <w:r w:rsidRPr="003134BE">
              <w:rPr>
                <w:lang w:val="fr-CA"/>
              </w:rPr>
              <w:t>modèle</w:t>
            </w:r>
            <w:r w:rsidR="0027046E" w:rsidRPr="003134BE">
              <w:rPr>
                <w:lang w:val="fr-CA"/>
              </w:rPr>
              <w:t> </w:t>
            </w:r>
            <w:r w:rsidRPr="003134BE">
              <w:rPr>
                <w:lang w:val="fr-CA"/>
              </w:rPr>
              <w:t>2013 ou 2014 au Canada.</w:t>
            </w:r>
            <w:r w:rsidR="0027046E" w:rsidRPr="003134BE">
              <w:rPr>
                <w:lang w:val="fr-CA"/>
              </w:rPr>
              <w:t xml:space="preserve"> </w:t>
            </w:r>
          </w:p>
          <w:p w14:paraId="22E36558" w14:textId="774CE8CA" w:rsidR="005A68BC" w:rsidRPr="003134BE" w:rsidRDefault="00D43520" w:rsidP="002D49EE">
            <w:pPr>
              <w:spacing w:after="0"/>
              <w:ind w:left="0" w:right="55" w:firstLine="0"/>
              <w:rPr>
                <w:lang w:val="fr-CA"/>
              </w:rPr>
            </w:pPr>
            <w:r w:rsidRPr="003134BE">
              <w:rPr>
                <w:lang w:val="fr-CA"/>
              </w:rPr>
              <w:t xml:space="preserve">La Cour peut trancher </w:t>
            </w:r>
            <w:r w:rsidR="00967C89">
              <w:rPr>
                <w:lang w:val="fr-CA"/>
              </w:rPr>
              <w:t>plusieurs</w:t>
            </w:r>
            <w:r w:rsidRPr="003134BE">
              <w:rPr>
                <w:lang w:val="fr-CA"/>
              </w:rPr>
              <w:t xml:space="preserve"> questions </w:t>
            </w:r>
            <w:r w:rsidR="00967C89">
              <w:rPr>
                <w:lang w:val="fr-CA"/>
              </w:rPr>
              <w:t>en litige</w:t>
            </w:r>
            <w:r w:rsidRPr="003134BE">
              <w:rPr>
                <w:lang w:val="fr-CA"/>
              </w:rPr>
              <w:t xml:space="preserve"> communes </w:t>
            </w:r>
            <w:r w:rsidR="00900CF9" w:rsidRPr="003134BE">
              <w:rPr>
                <w:lang w:val="fr-CA"/>
              </w:rPr>
              <w:t>au G</w:t>
            </w:r>
            <w:r w:rsidRPr="003134BE">
              <w:rPr>
                <w:lang w:val="fr-CA"/>
              </w:rPr>
              <w:t>roupe, notamment</w:t>
            </w:r>
            <w:r w:rsidR="0027046E" w:rsidRPr="003134BE">
              <w:rPr>
                <w:lang w:val="fr-CA"/>
              </w:rPr>
              <w:t> </w:t>
            </w:r>
            <w:r w:rsidRPr="003134BE">
              <w:rPr>
                <w:lang w:val="fr-CA"/>
              </w:rPr>
              <w:t>:</w:t>
            </w:r>
            <w:r w:rsidR="0027046E" w:rsidRPr="003134BE">
              <w:rPr>
                <w:lang w:val="fr-CA"/>
              </w:rPr>
              <w:t xml:space="preserve"> </w:t>
            </w:r>
          </w:p>
          <w:p w14:paraId="08B39665" w14:textId="70B4296C" w:rsidR="00673CC6" w:rsidRPr="003134BE" w:rsidRDefault="00365B52" w:rsidP="002D49EE">
            <w:pPr>
              <w:numPr>
                <w:ilvl w:val="0"/>
                <w:numId w:val="1"/>
              </w:numPr>
              <w:spacing w:after="0"/>
              <w:ind w:hanging="360"/>
              <w:rPr>
                <w:lang w:val="fr-CA"/>
              </w:rPr>
            </w:pPr>
            <w:r w:rsidRPr="003134BE">
              <w:rPr>
                <w:lang w:val="fr-CA"/>
              </w:rPr>
              <w:t xml:space="preserve">si Ford a enfreint la </w:t>
            </w:r>
            <w:r w:rsidRPr="003134BE">
              <w:rPr>
                <w:i/>
                <w:lang w:val="fr-CA"/>
              </w:rPr>
              <w:t>Loi sur la concurrence</w:t>
            </w:r>
            <w:r w:rsidRPr="003134BE">
              <w:rPr>
                <w:lang w:val="fr-CA"/>
              </w:rPr>
              <w:t>;</w:t>
            </w:r>
          </w:p>
          <w:p w14:paraId="6C9D67B9" w14:textId="4AA370BB" w:rsidR="00673CC6" w:rsidRPr="003134BE" w:rsidRDefault="00801D1C" w:rsidP="002D49EE">
            <w:pPr>
              <w:numPr>
                <w:ilvl w:val="0"/>
                <w:numId w:val="1"/>
              </w:numPr>
              <w:spacing w:after="0"/>
              <w:ind w:hanging="360"/>
              <w:rPr>
                <w:lang w:val="fr-CA"/>
              </w:rPr>
            </w:pPr>
            <w:r w:rsidRPr="003134BE">
              <w:rPr>
                <w:lang w:val="fr-CA"/>
              </w:rPr>
              <w:t>si Ford a enfreint la législation provinciale sur la protection des consommateurs; et</w:t>
            </w:r>
            <w:r w:rsidR="00967C89">
              <w:rPr>
                <w:lang w:val="fr-CA"/>
              </w:rPr>
              <w:t>,</w:t>
            </w:r>
            <w:r w:rsidR="00EE02AD" w:rsidRPr="003134BE">
              <w:rPr>
                <w:lang w:val="fr-CA"/>
              </w:rPr>
              <w:t xml:space="preserve"> </w:t>
            </w:r>
          </w:p>
          <w:p w14:paraId="1F431D4F" w14:textId="5C8B8CE9" w:rsidR="003D2543" w:rsidRPr="003134BE" w:rsidRDefault="002B0697" w:rsidP="002D49EE">
            <w:pPr>
              <w:numPr>
                <w:ilvl w:val="0"/>
                <w:numId w:val="1"/>
              </w:numPr>
              <w:spacing w:after="0"/>
              <w:ind w:hanging="360"/>
              <w:rPr>
                <w:lang w:val="fr-CA"/>
              </w:rPr>
            </w:pPr>
            <w:r w:rsidRPr="003134BE">
              <w:rPr>
                <w:lang w:val="fr-CA"/>
              </w:rPr>
              <w:t xml:space="preserve">si les </w:t>
            </w:r>
            <w:r w:rsidR="00967C89">
              <w:rPr>
                <w:lang w:val="fr-CA"/>
              </w:rPr>
              <w:t>M</w:t>
            </w:r>
            <w:r w:rsidRPr="003134BE">
              <w:rPr>
                <w:lang w:val="fr-CA"/>
              </w:rPr>
              <w:t xml:space="preserve">embres </w:t>
            </w:r>
            <w:r w:rsidR="00900CF9" w:rsidRPr="003134BE">
              <w:rPr>
                <w:lang w:val="fr-CA"/>
              </w:rPr>
              <w:t>du G</w:t>
            </w:r>
            <w:r w:rsidRPr="003134BE">
              <w:rPr>
                <w:lang w:val="fr-CA"/>
              </w:rPr>
              <w:t xml:space="preserve">roupe ont droit à des dommages-intérêts et à des dommages-intérêts punitifs en vertu de la </w:t>
            </w:r>
            <w:r w:rsidRPr="003134BE">
              <w:rPr>
                <w:i/>
                <w:lang w:val="fr-CA"/>
              </w:rPr>
              <w:t>Loi sur la concurrence</w:t>
            </w:r>
            <w:r w:rsidRPr="003134BE">
              <w:rPr>
                <w:lang w:val="fr-CA"/>
              </w:rPr>
              <w:t xml:space="preserve"> et/ou de la législation provinciale sur la protection des consommateurs.</w:t>
            </w:r>
            <w:r w:rsidR="00EE02AD" w:rsidRPr="003134BE">
              <w:rPr>
                <w:lang w:val="fr-CA"/>
              </w:rPr>
              <w:t xml:space="preserve"> </w:t>
            </w:r>
          </w:p>
          <w:p w14:paraId="6CC82FDF" w14:textId="77777777" w:rsidR="003D2543" w:rsidRPr="003134BE" w:rsidRDefault="003D2543" w:rsidP="002D49EE">
            <w:pPr>
              <w:spacing w:after="0"/>
              <w:ind w:left="0" w:right="55" w:firstLine="0"/>
              <w:rPr>
                <w:lang w:val="fr-CA"/>
              </w:rPr>
            </w:pPr>
          </w:p>
          <w:p w14:paraId="56E1657D" w14:textId="36B2593C" w:rsidR="003D2543" w:rsidRPr="003134BE" w:rsidRDefault="00E05DB9" w:rsidP="002D49EE">
            <w:pPr>
              <w:spacing w:after="0"/>
              <w:ind w:left="0" w:right="55" w:firstLine="0"/>
              <w:rPr>
                <w:b/>
                <w:bCs/>
                <w:lang w:val="fr-CA"/>
              </w:rPr>
            </w:pPr>
            <w:r w:rsidRPr="003134BE">
              <w:rPr>
                <w:b/>
                <w:bCs/>
                <w:lang w:val="fr-CA"/>
              </w:rPr>
              <w:t xml:space="preserve">Le présent avis ne signifie pas que la Cour a pris position quant à la probabilité d’un recouvrement de la part d’un </w:t>
            </w:r>
            <w:r w:rsidR="00967C89">
              <w:rPr>
                <w:b/>
                <w:bCs/>
                <w:lang w:val="fr-CA"/>
              </w:rPr>
              <w:t>M</w:t>
            </w:r>
            <w:r w:rsidR="00900CF9" w:rsidRPr="003134BE">
              <w:rPr>
                <w:b/>
                <w:bCs/>
                <w:lang w:val="fr-CA"/>
              </w:rPr>
              <w:t>embre du G</w:t>
            </w:r>
            <w:r w:rsidRPr="003134BE">
              <w:rPr>
                <w:b/>
                <w:bCs/>
                <w:lang w:val="fr-CA"/>
              </w:rPr>
              <w:t xml:space="preserve">roupe, ni quant au fond des </w:t>
            </w:r>
            <w:r w:rsidR="00967C89">
              <w:rPr>
                <w:b/>
                <w:bCs/>
                <w:lang w:val="fr-CA"/>
              </w:rPr>
              <w:t>allégations</w:t>
            </w:r>
            <w:r w:rsidRPr="003134BE">
              <w:rPr>
                <w:b/>
                <w:bCs/>
                <w:lang w:val="fr-CA"/>
              </w:rPr>
              <w:t xml:space="preserve"> ou des moyens de défense invoqués par l’une ou l’autre des parties.</w:t>
            </w:r>
            <w:r w:rsidR="0027046E" w:rsidRPr="003134BE">
              <w:rPr>
                <w:b/>
                <w:bCs/>
                <w:lang w:val="fr-CA"/>
              </w:rPr>
              <w:t xml:space="preserve"> </w:t>
            </w:r>
            <w:r w:rsidR="00A757AD" w:rsidRPr="003134BE">
              <w:rPr>
                <w:b/>
                <w:bCs/>
                <w:lang w:val="fr-CA"/>
              </w:rPr>
              <w:t xml:space="preserve">Les </w:t>
            </w:r>
            <w:r w:rsidR="00967C89">
              <w:rPr>
                <w:b/>
                <w:bCs/>
                <w:lang w:val="fr-CA"/>
              </w:rPr>
              <w:t>allégations</w:t>
            </w:r>
            <w:r w:rsidR="00A757AD" w:rsidRPr="003134BE">
              <w:rPr>
                <w:b/>
                <w:bCs/>
                <w:lang w:val="fr-CA"/>
              </w:rPr>
              <w:t xml:space="preserve"> doivent être prouvées devant la Cour.</w:t>
            </w:r>
            <w:r w:rsidR="0027046E" w:rsidRPr="003134BE">
              <w:rPr>
                <w:b/>
                <w:bCs/>
                <w:lang w:val="fr-CA"/>
              </w:rPr>
              <w:t xml:space="preserve"> </w:t>
            </w:r>
            <w:r w:rsidR="00A37E51" w:rsidRPr="003134BE">
              <w:rPr>
                <w:b/>
                <w:bCs/>
                <w:lang w:val="fr-CA"/>
              </w:rPr>
              <w:t xml:space="preserve">Ford nie </w:t>
            </w:r>
            <w:r w:rsidR="00967C89" w:rsidRPr="003134BE">
              <w:rPr>
                <w:b/>
                <w:bCs/>
                <w:lang w:val="fr-CA"/>
              </w:rPr>
              <w:t>ces allégations</w:t>
            </w:r>
            <w:r w:rsidR="00A37E51" w:rsidRPr="003134BE">
              <w:rPr>
                <w:b/>
                <w:bCs/>
                <w:lang w:val="fr-CA"/>
              </w:rPr>
              <w:t>.</w:t>
            </w:r>
          </w:p>
          <w:p w14:paraId="1FFF4068" w14:textId="77777777" w:rsidR="00AC05AD" w:rsidRPr="003134BE" w:rsidRDefault="00AC05AD" w:rsidP="002D49EE">
            <w:pPr>
              <w:spacing w:after="0"/>
              <w:ind w:left="0" w:right="55" w:firstLine="0"/>
              <w:rPr>
                <w:lang w:val="fr-CA"/>
              </w:rPr>
            </w:pPr>
          </w:p>
        </w:tc>
      </w:tr>
      <w:tr w:rsidR="00685850" w:rsidRPr="009431E3" w14:paraId="780DDAA7" w14:textId="77777777" w:rsidTr="0016072E">
        <w:trPr>
          <w:trHeight w:val="71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ECA51" w14:textId="4A08A92A" w:rsidR="005A68BC" w:rsidRPr="0006023A" w:rsidRDefault="006320BC" w:rsidP="002D49EE">
            <w:pPr>
              <w:spacing w:after="0"/>
              <w:ind w:left="0" w:right="208" w:firstLine="0"/>
              <w:jc w:val="left"/>
              <w:rPr>
                <w:lang w:val="fr-CA"/>
              </w:rPr>
            </w:pPr>
            <w:r w:rsidRPr="0006023A">
              <w:rPr>
                <w:b/>
                <w:lang w:val="fr-CA"/>
              </w:rPr>
              <w:t>Participation à l’action collective</w:t>
            </w:r>
            <w:r w:rsidR="00967C89">
              <w:rPr>
                <w:b/>
                <w:lang w:val="fr-CA"/>
              </w:rPr>
              <w:t> :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95EB7" w14:textId="16AE52FA" w:rsidR="00AC05AD" w:rsidRDefault="00900CF9" w:rsidP="00DD5B8F">
            <w:pPr>
              <w:spacing w:after="0"/>
              <w:ind w:left="0" w:firstLine="0"/>
              <w:rPr>
                <w:lang w:val="fr-CA"/>
              </w:rPr>
            </w:pPr>
            <w:r w:rsidRPr="003134BE">
              <w:rPr>
                <w:lang w:val="fr-CA"/>
              </w:rPr>
              <w:t xml:space="preserve">Les </w:t>
            </w:r>
            <w:r w:rsidR="00967C89">
              <w:rPr>
                <w:lang w:val="fr-CA"/>
              </w:rPr>
              <w:t>M</w:t>
            </w:r>
            <w:r w:rsidRPr="003134BE">
              <w:rPr>
                <w:lang w:val="fr-CA"/>
              </w:rPr>
              <w:t>embres du G</w:t>
            </w:r>
            <w:r w:rsidR="00BE3105" w:rsidRPr="003134BE">
              <w:rPr>
                <w:lang w:val="fr-CA"/>
              </w:rPr>
              <w:t xml:space="preserve">roupe qui souhaitent participer à l’action collective sont </w:t>
            </w:r>
            <w:r w:rsidR="00BE3105" w:rsidRPr="003134BE">
              <w:rPr>
                <w:u w:val="single"/>
                <w:lang w:val="fr-CA"/>
              </w:rPr>
              <w:t>automatiquement inclus</w:t>
            </w:r>
            <w:r w:rsidR="00BE3105" w:rsidRPr="003134BE">
              <w:rPr>
                <w:lang w:val="fr-CA"/>
              </w:rPr>
              <w:t xml:space="preserve"> et n’ont besoin de prendre aucune mesure en ce moment.</w:t>
            </w:r>
            <w:r w:rsidR="0027046E" w:rsidRPr="003134BE">
              <w:rPr>
                <w:lang w:val="fr-CA"/>
              </w:rPr>
              <w:t xml:space="preserve"> </w:t>
            </w:r>
            <w:r w:rsidR="00B244AF" w:rsidRPr="003134BE">
              <w:rPr>
                <w:lang w:val="fr-CA"/>
              </w:rPr>
              <w:t xml:space="preserve">La </w:t>
            </w:r>
            <w:r w:rsidR="00B244AF" w:rsidRPr="003134BE">
              <w:rPr>
                <w:i/>
                <w:lang w:val="fr-CA"/>
              </w:rPr>
              <w:t xml:space="preserve">Loi </w:t>
            </w:r>
            <w:r w:rsidR="009431E3">
              <w:rPr>
                <w:i/>
                <w:lang w:val="fr-CA"/>
              </w:rPr>
              <w:t xml:space="preserve">de 1992 </w:t>
            </w:r>
            <w:r w:rsidR="00B244AF" w:rsidRPr="003134BE">
              <w:rPr>
                <w:i/>
                <w:lang w:val="fr-CA"/>
              </w:rPr>
              <w:t>sur les recours collectifs</w:t>
            </w:r>
            <w:r w:rsidR="009431E3">
              <w:rPr>
                <w:iCs/>
                <w:lang w:val="fr-CA"/>
              </w:rPr>
              <w:t>, LO 1992, c 6</w:t>
            </w:r>
            <w:r w:rsidR="00B244AF" w:rsidRPr="003134BE">
              <w:rPr>
                <w:lang w:val="fr-CA"/>
              </w:rPr>
              <w:t xml:space="preserve"> précise qu’aucun </w:t>
            </w:r>
            <w:r w:rsidR="00967C89">
              <w:rPr>
                <w:lang w:val="fr-CA"/>
              </w:rPr>
              <w:t>M</w:t>
            </w:r>
            <w:r w:rsidR="00B244AF" w:rsidRPr="003134BE">
              <w:rPr>
                <w:lang w:val="fr-CA"/>
              </w:rPr>
              <w:t xml:space="preserve">embre du </w:t>
            </w:r>
            <w:r w:rsidRPr="003134BE">
              <w:rPr>
                <w:lang w:val="fr-CA"/>
              </w:rPr>
              <w:t>G</w:t>
            </w:r>
            <w:r w:rsidR="00B244AF" w:rsidRPr="003134BE">
              <w:rPr>
                <w:lang w:val="fr-CA"/>
              </w:rPr>
              <w:t xml:space="preserve">roupe, autre que le représentant </w:t>
            </w:r>
            <w:r w:rsidRPr="003134BE">
              <w:rPr>
                <w:lang w:val="fr-CA"/>
              </w:rPr>
              <w:t xml:space="preserve">des </w:t>
            </w:r>
            <w:r w:rsidR="00967C89">
              <w:rPr>
                <w:lang w:val="fr-CA"/>
              </w:rPr>
              <w:t>M</w:t>
            </w:r>
            <w:r w:rsidRPr="003134BE">
              <w:rPr>
                <w:lang w:val="fr-CA"/>
              </w:rPr>
              <w:t>embres du G</w:t>
            </w:r>
            <w:r w:rsidR="00B244AF" w:rsidRPr="003134BE">
              <w:rPr>
                <w:lang w:val="fr-CA"/>
              </w:rPr>
              <w:t>roupe, ne sera responsable des frais juridiques si l’action est rejetée.</w:t>
            </w:r>
            <w:r w:rsidR="00EE02AD" w:rsidRPr="003134BE">
              <w:rPr>
                <w:lang w:val="fr-CA"/>
              </w:rPr>
              <w:t xml:space="preserve"> </w:t>
            </w:r>
            <w:r w:rsidR="00C91FC5" w:rsidRPr="003134BE">
              <w:rPr>
                <w:lang w:val="fr-CA"/>
              </w:rPr>
              <w:t xml:space="preserve">Chaque </w:t>
            </w:r>
            <w:r w:rsidR="00967C89">
              <w:rPr>
                <w:lang w:val="fr-CA"/>
              </w:rPr>
              <w:t>M</w:t>
            </w:r>
            <w:r w:rsidR="00C91FC5" w:rsidRPr="003134BE">
              <w:rPr>
                <w:lang w:val="fr-CA"/>
              </w:rPr>
              <w:t xml:space="preserve">embre </w:t>
            </w:r>
            <w:r w:rsidRPr="003134BE">
              <w:rPr>
                <w:lang w:val="fr-CA"/>
              </w:rPr>
              <w:t>du G</w:t>
            </w:r>
            <w:r w:rsidR="00C91FC5" w:rsidRPr="003134BE">
              <w:rPr>
                <w:lang w:val="fr-CA"/>
              </w:rPr>
              <w:t>roupe qui ne s</w:t>
            </w:r>
            <w:r w:rsidR="00DD5B8F" w:rsidRPr="003134BE">
              <w:rPr>
                <w:lang w:val="fr-CA"/>
              </w:rPr>
              <w:t>’exclut</w:t>
            </w:r>
            <w:r w:rsidR="00C91FC5" w:rsidRPr="003134BE">
              <w:rPr>
                <w:lang w:val="fr-CA"/>
              </w:rPr>
              <w:t xml:space="preserve"> pas de l</w:t>
            </w:r>
            <w:r w:rsidR="0027046E" w:rsidRPr="003134BE">
              <w:rPr>
                <w:lang w:val="fr-CA"/>
              </w:rPr>
              <w:t>’</w:t>
            </w:r>
            <w:r w:rsidR="00C91FC5" w:rsidRPr="003134BE">
              <w:rPr>
                <w:lang w:val="fr-CA"/>
              </w:rPr>
              <w:t xml:space="preserve">action collective sera lié par les conditions de tout jugement ou règlement et ne sera pas autorisé à intenter ou poursuivre </w:t>
            </w:r>
            <w:r w:rsidR="00C91FC5" w:rsidRPr="003134BE">
              <w:rPr>
                <w:lang w:val="fr-CA"/>
              </w:rPr>
              <w:lastRenderedPageBreak/>
              <w:t>une action indépendante à l</w:t>
            </w:r>
            <w:r w:rsidR="0027046E" w:rsidRPr="003134BE">
              <w:rPr>
                <w:lang w:val="fr-CA"/>
              </w:rPr>
              <w:t>’</w:t>
            </w:r>
            <w:r w:rsidR="00C91FC5" w:rsidRPr="003134BE">
              <w:rPr>
                <w:lang w:val="fr-CA"/>
              </w:rPr>
              <w:t>égard de ce</w:t>
            </w:r>
            <w:r w:rsidR="009431E3">
              <w:rPr>
                <w:lang w:val="fr-CA"/>
              </w:rPr>
              <w:t>tte</w:t>
            </w:r>
            <w:r w:rsidR="00C91FC5" w:rsidRPr="003134BE">
              <w:rPr>
                <w:lang w:val="fr-CA"/>
              </w:rPr>
              <w:t xml:space="preserve"> question.</w:t>
            </w:r>
            <w:r w:rsidR="00EE02AD" w:rsidRPr="003134BE">
              <w:rPr>
                <w:lang w:val="fr-CA"/>
              </w:rPr>
              <w:t xml:space="preserve"> </w:t>
            </w:r>
            <w:r w:rsidR="00B41AAF" w:rsidRPr="003134BE">
              <w:rPr>
                <w:lang w:val="fr-CA"/>
              </w:rPr>
              <w:t xml:space="preserve">Si l’action collective obtient gain de cause, les </w:t>
            </w:r>
            <w:r w:rsidR="00967C89">
              <w:rPr>
                <w:lang w:val="fr-CA"/>
              </w:rPr>
              <w:t>M</w:t>
            </w:r>
            <w:r w:rsidR="00B41AAF" w:rsidRPr="003134BE">
              <w:rPr>
                <w:lang w:val="fr-CA"/>
              </w:rPr>
              <w:t>embres du Groupe peuvent avoir le droit de partager le montant de toute</w:t>
            </w:r>
            <w:r w:rsidR="005F5840">
              <w:rPr>
                <w:lang w:val="fr-CA"/>
              </w:rPr>
              <w:t xml:space="preserve"> indemnisation</w:t>
            </w:r>
            <w:r w:rsidR="00B41AAF" w:rsidRPr="003134BE">
              <w:rPr>
                <w:lang w:val="fr-CA"/>
              </w:rPr>
              <w:t xml:space="preserve"> ou de tout règlement recouvré.</w:t>
            </w:r>
          </w:p>
          <w:p w14:paraId="3E0F9D2F" w14:textId="5F0021B1" w:rsidR="008F04AD" w:rsidRPr="003134BE" w:rsidRDefault="008F04AD" w:rsidP="00DD5B8F">
            <w:pPr>
              <w:spacing w:after="0"/>
              <w:ind w:left="0" w:firstLine="0"/>
              <w:rPr>
                <w:lang w:val="fr-CA"/>
              </w:rPr>
            </w:pPr>
          </w:p>
        </w:tc>
      </w:tr>
      <w:tr w:rsidR="00685850" w:rsidRPr="009431E3" w14:paraId="19EF8909" w14:textId="77777777" w:rsidTr="0016072E">
        <w:trPr>
          <w:trHeight w:val="71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A3CEB" w14:textId="03629A95" w:rsidR="001426C4" w:rsidRPr="0006023A" w:rsidRDefault="005564F2" w:rsidP="002D49EE">
            <w:pPr>
              <w:spacing w:after="0"/>
              <w:ind w:left="0" w:right="208" w:firstLine="0"/>
              <w:jc w:val="left"/>
              <w:rPr>
                <w:b/>
                <w:lang w:val="fr-CA"/>
              </w:rPr>
            </w:pPr>
            <w:r w:rsidRPr="0006023A">
              <w:rPr>
                <w:b/>
                <w:lang w:val="fr-CA"/>
              </w:rPr>
              <w:lastRenderedPageBreak/>
              <w:t>Exclusion</w:t>
            </w:r>
            <w:r w:rsidR="00967C89">
              <w:rPr>
                <w:b/>
                <w:lang w:val="fr-CA"/>
              </w:rPr>
              <w:t> :</w:t>
            </w:r>
            <w:r w:rsidR="0027046E" w:rsidRPr="0006023A">
              <w:rPr>
                <w:b/>
                <w:lang w:val="fr-CA"/>
              </w:rPr>
              <w:t xml:space="preserve"> 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FCDC6" w14:textId="6808D018" w:rsidR="001426C4" w:rsidRPr="008E5672" w:rsidRDefault="009E6F93" w:rsidP="002D49EE">
            <w:pPr>
              <w:spacing w:after="0"/>
              <w:ind w:left="0" w:firstLine="0"/>
              <w:rPr>
                <w:rFonts w:asciiTheme="minorHAnsi" w:hAnsiTheme="minorHAnsi" w:cstheme="minorHAnsi"/>
                <w:szCs w:val="24"/>
                <w:lang w:val="fr-CA"/>
              </w:rPr>
            </w:pPr>
            <w:r w:rsidRPr="003134BE">
              <w:rPr>
                <w:lang w:val="fr-CA"/>
              </w:rPr>
              <w:t xml:space="preserve">Un </w:t>
            </w:r>
            <w:r w:rsidR="00967C89">
              <w:rPr>
                <w:lang w:val="fr-CA"/>
              </w:rPr>
              <w:t>M</w:t>
            </w:r>
            <w:r w:rsidRPr="003134BE">
              <w:rPr>
                <w:lang w:val="fr-CA"/>
              </w:rPr>
              <w:t>embre du Groupe qui s’exclut n’aura pas le droit de participer à l’action collective.</w:t>
            </w:r>
            <w:r w:rsidR="00BD2AF7" w:rsidRPr="003134BE">
              <w:rPr>
                <w:lang w:val="fr-CA"/>
              </w:rPr>
              <w:t xml:space="preserve"> </w:t>
            </w:r>
            <w:r w:rsidR="00A72F2A" w:rsidRPr="003134BE">
              <w:rPr>
                <w:lang w:val="fr-CA"/>
              </w:rPr>
              <w:t xml:space="preserve">Si vous désirez intenter ou poursuivre une action individuelle contre Ford relativement à </w:t>
            </w:r>
            <w:r w:rsidR="00A72F2A" w:rsidRPr="008E5672">
              <w:rPr>
                <w:rFonts w:asciiTheme="minorHAnsi" w:hAnsiTheme="minorHAnsi" w:cstheme="minorHAnsi"/>
                <w:szCs w:val="24"/>
                <w:lang w:val="fr-CA"/>
              </w:rPr>
              <w:t>cette question, vous devez vous exclure de l</w:t>
            </w:r>
            <w:r w:rsidR="0027046E" w:rsidRPr="008E5672">
              <w:rPr>
                <w:rFonts w:asciiTheme="minorHAnsi" w:hAnsiTheme="minorHAnsi" w:cstheme="minorHAnsi"/>
                <w:szCs w:val="24"/>
                <w:lang w:val="fr-CA"/>
              </w:rPr>
              <w:t>’</w:t>
            </w:r>
            <w:r w:rsidR="00A72F2A" w:rsidRPr="008E5672">
              <w:rPr>
                <w:rFonts w:asciiTheme="minorHAnsi" w:hAnsiTheme="minorHAnsi" w:cstheme="minorHAnsi"/>
                <w:szCs w:val="24"/>
                <w:lang w:val="fr-CA"/>
              </w:rPr>
              <w:t>action collective.</w:t>
            </w:r>
            <w:r w:rsidR="00BD2AF7" w:rsidRPr="008E5672">
              <w:rPr>
                <w:rFonts w:asciiTheme="minorHAnsi" w:hAnsiTheme="minorHAnsi" w:cstheme="minorHAnsi"/>
                <w:szCs w:val="24"/>
                <w:lang w:val="fr-CA"/>
              </w:rPr>
              <w:t xml:space="preserve"> </w:t>
            </w:r>
            <w:r w:rsidR="00A06528" w:rsidRPr="008E5672">
              <w:rPr>
                <w:rFonts w:asciiTheme="minorHAnsi" w:hAnsiTheme="minorHAnsi" w:cstheme="minorHAnsi"/>
                <w:szCs w:val="24"/>
                <w:lang w:val="fr-CA"/>
              </w:rPr>
              <w:t>Si vous souhaitez vous exclure de l</w:t>
            </w:r>
            <w:r w:rsidR="0027046E" w:rsidRPr="008E5672">
              <w:rPr>
                <w:rFonts w:asciiTheme="minorHAnsi" w:hAnsiTheme="minorHAnsi" w:cstheme="minorHAnsi"/>
                <w:szCs w:val="24"/>
                <w:lang w:val="fr-CA"/>
              </w:rPr>
              <w:t>’</w:t>
            </w:r>
            <w:r w:rsidR="00A06528" w:rsidRPr="008E5672">
              <w:rPr>
                <w:rFonts w:asciiTheme="minorHAnsi" w:hAnsiTheme="minorHAnsi" w:cstheme="minorHAnsi"/>
                <w:szCs w:val="24"/>
                <w:lang w:val="fr-CA"/>
              </w:rPr>
              <w:t xml:space="preserve">action collective, vous devez remplir et retourner le formulaire d’exclusion au plus tard le </w:t>
            </w:r>
            <w:proofErr w:type="spellStart"/>
            <w:r w:rsidR="008E5672" w:rsidRPr="008E5672">
              <w:rPr>
                <w:rFonts w:asciiTheme="minorHAnsi" w:hAnsiTheme="minorHAnsi" w:cstheme="minorHAnsi"/>
                <w:color w:val="242424"/>
                <w:szCs w:val="24"/>
                <w:shd w:val="clear" w:color="auto" w:fill="FFFFFF"/>
              </w:rPr>
              <w:t>vendredi</w:t>
            </w:r>
            <w:proofErr w:type="spellEnd"/>
            <w:r w:rsidR="008E5672" w:rsidRPr="008E5672">
              <w:rPr>
                <w:rFonts w:asciiTheme="minorHAnsi" w:hAnsiTheme="minorHAnsi" w:cstheme="minorHAnsi"/>
                <w:color w:val="242424"/>
                <w:szCs w:val="24"/>
                <w:shd w:val="clear" w:color="auto" w:fill="FFFFFF"/>
              </w:rPr>
              <w:t xml:space="preserve"> </w:t>
            </w:r>
            <w:r w:rsidR="008E5672" w:rsidRPr="007713E4">
              <w:rPr>
                <w:rFonts w:asciiTheme="minorHAnsi" w:hAnsiTheme="minorHAnsi" w:cstheme="minorHAnsi"/>
                <w:b/>
                <w:bCs/>
                <w:color w:val="242424"/>
                <w:szCs w:val="24"/>
                <w:shd w:val="clear" w:color="auto" w:fill="FFFFFF"/>
              </w:rPr>
              <w:t xml:space="preserve">11 </w:t>
            </w:r>
            <w:r w:rsidR="00B45B67" w:rsidRPr="007713E4">
              <w:rPr>
                <w:rFonts w:asciiTheme="minorHAnsi" w:hAnsiTheme="minorHAnsi" w:cstheme="minorHAnsi"/>
                <w:b/>
                <w:bCs/>
                <w:color w:val="242424"/>
                <w:szCs w:val="24"/>
                <w:shd w:val="clear" w:color="auto" w:fill="FFFFFF"/>
              </w:rPr>
              <w:t>mars</w:t>
            </w:r>
            <w:r w:rsidR="008E5672" w:rsidRPr="007713E4">
              <w:rPr>
                <w:rFonts w:asciiTheme="minorHAnsi" w:hAnsiTheme="minorHAnsi" w:cstheme="minorHAnsi"/>
                <w:b/>
                <w:bCs/>
                <w:color w:val="242424"/>
                <w:szCs w:val="24"/>
                <w:shd w:val="clear" w:color="auto" w:fill="FFFFFF"/>
              </w:rPr>
              <w:t xml:space="preserve"> 2022</w:t>
            </w:r>
            <w:r w:rsidR="006E3521" w:rsidRPr="008E5672">
              <w:rPr>
                <w:rFonts w:asciiTheme="minorHAnsi" w:hAnsiTheme="minorHAnsi" w:cstheme="minorHAnsi"/>
                <w:color w:val="202124"/>
                <w:szCs w:val="24"/>
                <w:shd w:val="clear" w:color="auto" w:fill="FFFFFF"/>
              </w:rPr>
              <w:t>.</w:t>
            </w:r>
          </w:p>
          <w:p w14:paraId="50960CEE" w14:textId="77777777" w:rsidR="00230648" w:rsidRPr="003134BE" w:rsidRDefault="00230648" w:rsidP="002D49EE">
            <w:pPr>
              <w:spacing w:after="0"/>
              <w:ind w:left="0" w:firstLine="0"/>
              <w:rPr>
                <w:lang w:val="fr-CA"/>
              </w:rPr>
            </w:pPr>
          </w:p>
          <w:p w14:paraId="277AE4CC" w14:textId="1A541954" w:rsidR="00230648" w:rsidRPr="003134BE" w:rsidRDefault="000879D6" w:rsidP="002D49EE">
            <w:pPr>
              <w:spacing w:after="0"/>
              <w:ind w:left="0" w:firstLine="0"/>
              <w:rPr>
                <w:lang w:val="fr-CA"/>
              </w:rPr>
            </w:pPr>
            <w:r w:rsidRPr="003134BE">
              <w:rPr>
                <w:lang w:val="fr-CA"/>
              </w:rPr>
              <w:t>Une copie du formulaire d’exclusion peut être obtenue sur le site</w:t>
            </w:r>
            <w:r w:rsidR="009431E3">
              <w:rPr>
                <w:lang w:val="fr-CA"/>
              </w:rPr>
              <w:t xml:space="preserve"> web </w:t>
            </w:r>
            <w:r w:rsidRPr="003134BE">
              <w:rPr>
                <w:lang w:val="fr-CA"/>
              </w:rPr>
              <w:t xml:space="preserve"> </w:t>
            </w:r>
            <w:r w:rsidRPr="003134BE">
              <w:rPr>
                <w:b/>
                <w:lang w:val="fr-CA"/>
              </w:rPr>
              <w:t>www.robinsappleby.com</w:t>
            </w:r>
            <w:r w:rsidRPr="003134BE">
              <w:rPr>
                <w:lang w:val="fr-CA"/>
              </w:rPr>
              <w:t xml:space="preserve"> </w:t>
            </w:r>
            <w:r w:rsidR="0066308A">
              <w:rPr>
                <w:b/>
                <w:bCs/>
                <w:lang w:val="fr-CA"/>
              </w:rPr>
              <w:t>OU</w:t>
            </w:r>
            <w:r w:rsidRPr="003134BE">
              <w:rPr>
                <w:lang w:val="fr-CA"/>
              </w:rPr>
              <w:t xml:space="preserve"> </w:t>
            </w:r>
            <w:r w:rsidRPr="003134BE">
              <w:rPr>
                <w:b/>
                <w:lang w:val="fr-CA"/>
              </w:rPr>
              <w:t>www.mckenzielake.com</w:t>
            </w:r>
            <w:r w:rsidRPr="003134BE">
              <w:rPr>
                <w:lang w:val="fr-CA"/>
              </w:rPr>
              <w:t xml:space="preserve"> ou en contactant les avocats du Groupe </w:t>
            </w:r>
            <w:r w:rsidR="009431E3">
              <w:rPr>
                <w:lang w:val="fr-CA"/>
              </w:rPr>
              <w:t>au</w:t>
            </w:r>
            <w:r w:rsidRPr="003134BE">
              <w:rPr>
                <w:lang w:val="fr-CA"/>
              </w:rPr>
              <w:t xml:space="preserve"> numéro de téléphone ou </w:t>
            </w:r>
            <w:r w:rsidR="009431E3">
              <w:rPr>
                <w:lang w:val="fr-CA"/>
              </w:rPr>
              <w:t>aux</w:t>
            </w:r>
            <w:r w:rsidRPr="003134BE">
              <w:rPr>
                <w:lang w:val="fr-CA"/>
              </w:rPr>
              <w:t xml:space="preserve"> </w:t>
            </w:r>
            <w:r w:rsidR="00985786" w:rsidRPr="003134BE">
              <w:rPr>
                <w:lang w:val="fr-CA"/>
              </w:rPr>
              <w:t>adresses courriel</w:t>
            </w:r>
            <w:r w:rsidR="00ED4BAC" w:rsidRPr="003134BE">
              <w:rPr>
                <w:lang w:val="fr-CA"/>
              </w:rPr>
              <w:t xml:space="preserve"> indiqué</w:t>
            </w:r>
            <w:r w:rsidRPr="003134BE">
              <w:rPr>
                <w:lang w:val="fr-CA"/>
              </w:rPr>
              <w:t>s ci-dessous.</w:t>
            </w:r>
            <w:r w:rsidR="0027046E" w:rsidRPr="003134BE">
              <w:rPr>
                <w:lang w:val="fr-CA"/>
              </w:rPr>
              <w:t xml:space="preserve"> </w:t>
            </w:r>
          </w:p>
          <w:p w14:paraId="30A833E3" w14:textId="77777777" w:rsidR="00230648" w:rsidRPr="003134BE" w:rsidRDefault="00230648" w:rsidP="002D49EE">
            <w:pPr>
              <w:spacing w:after="0"/>
              <w:ind w:left="0" w:firstLine="0"/>
              <w:rPr>
                <w:lang w:val="fr-CA"/>
              </w:rPr>
            </w:pPr>
          </w:p>
          <w:p w14:paraId="3FDB53C5" w14:textId="728AC1D6" w:rsidR="00230648" w:rsidRPr="003134BE" w:rsidRDefault="00F83E66" w:rsidP="002D49EE">
            <w:pPr>
              <w:spacing w:after="0"/>
              <w:ind w:left="0" w:firstLine="0"/>
              <w:rPr>
                <w:lang w:val="fr-CA"/>
              </w:rPr>
            </w:pPr>
            <w:r w:rsidRPr="003134BE">
              <w:rPr>
                <w:lang w:val="fr-CA"/>
              </w:rPr>
              <w:t xml:space="preserve">Personne ne peut exclure un mineur (une personne de moins de 18 ans) ou un </w:t>
            </w:r>
            <w:r w:rsidR="00967C89">
              <w:rPr>
                <w:lang w:val="fr-CA"/>
              </w:rPr>
              <w:t>M</w:t>
            </w:r>
            <w:r w:rsidRPr="003134BE">
              <w:rPr>
                <w:lang w:val="fr-CA"/>
              </w:rPr>
              <w:t>embre du Groupe</w:t>
            </w:r>
            <w:r w:rsidR="00967C89">
              <w:rPr>
                <w:lang w:val="fr-CA"/>
              </w:rPr>
              <w:t xml:space="preserve"> qui est incapable</w:t>
            </w:r>
            <w:r w:rsidRPr="003134BE">
              <w:rPr>
                <w:lang w:val="fr-CA"/>
              </w:rPr>
              <w:t xml:space="preserve"> sans l’autorisation du tribunal après avoir </w:t>
            </w:r>
            <w:r w:rsidR="00967C89">
              <w:rPr>
                <w:lang w:val="fr-CA"/>
              </w:rPr>
              <w:t>avis</w:t>
            </w:r>
            <w:r w:rsidRPr="003134BE">
              <w:rPr>
                <w:lang w:val="fr-CA"/>
              </w:rPr>
              <w:t xml:space="preserve">é l’avocat des enfants et/ou </w:t>
            </w:r>
            <w:r w:rsidR="00967C89">
              <w:rPr>
                <w:lang w:val="fr-CA"/>
              </w:rPr>
              <w:t>le</w:t>
            </w:r>
            <w:r w:rsidRPr="003134BE">
              <w:rPr>
                <w:lang w:val="fr-CA"/>
              </w:rPr>
              <w:t xml:space="preserve"> tuteur et curateur public, selon le cas.</w:t>
            </w:r>
          </w:p>
          <w:p w14:paraId="5C299145" w14:textId="77777777" w:rsidR="00230648" w:rsidRPr="003134BE" w:rsidRDefault="00230648" w:rsidP="002D49EE">
            <w:pPr>
              <w:spacing w:after="0"/>
              <w:ind w:left="0" w:firstLine="0"/>
              <w:rPr>
                <w:lang w:val="fr-CA"/>
              </w:rPr>
            </w:pPr>
          </w:p>
          <w:p w14:paraId="41B6E2B3" w14:textId="503B2F2B" w:rsidR="00230648" w:rsidRPr="003134BE" w:rsidRDefault="00594792" w:rsidP="002D49EE">
            <w:pPr>
              <w:spacing w:after="0"/>
              <w:ind w:left="0" w:firstLine="0"/>
              <w:rPr>
                <w:lang w:val="fr-CA"/>
              </w:rPr>
            </w:pPr>
            <w:r w:rsidRPr="003134BE">
              <w:rPr>
                <w:lang w:val="fr-CA"/>
              </w:rPr>
              <w:t xml:space="preserve">Un </w:t>
            </w:r>
            <w:r w:rsidR="00967C89">
              <w:rPr>
                <w:lang w:val="fr-CA"/>
              </w:rPr>
              <w:t>M</w:t>
            </w:r>
            <w:r w:rsidRPr="003134BE">
              <w:rPr>
                <w:lang w:val="fr-CA"/>
              </w:rPr>
              <w:t>embre du Groupe qui s’exclut n’aura pas le droit de participer à l’action collective.</w:t>
            </w:r>
            <w:r w:rsidR="0027046E" w:rsidRPr="003134BE">
              <w:rPr>
                <w:lang w:val="fr-CA"/>
              </w:rPr>
              <w:t xml:space="preserve"> </w:t>
            </w:r>
            <w:r w:rsidR="00C143BF" w:rsidRPr="003134BE">
              <w:rPr>
                <w:lang w:val="fr-CA"/>
              </w:rPr>
              <w:t>Cela n’aura pas d’incidence sur son droit d’intenter une poursuite distincte.</w:t>
            </w:r>
            <w:r w:rsidR="0027046E" w:rsidRPr="003134BE">
              <w:rPr>
                <w:lang w:val="fr-CA"/>
              </w:rPr>
              <w:t xml:space="preserve">  </w:t>
            </w:r>
          </w:p>
          <w:p w14:paraId="2023D6AE" w14:textId="77777777" w:rsidR="00290B22" w:rsidRPr="003134BE" w:rsidRDefault="00290B22" w:rsidP="002D49EE">
            <w:pPr>
              <w:spacing w:after="0"/>
              <w:ind w:left="0" w:firstLine="0"/>
              <w:rPr>
                <w:lang w:val="fr-CA"/>
              </w:rPr>
            </w:pPr>
          </w:p>
        </w:tc>
      </w:tr>
    </w:tbl>
    <w:p w14:paraId="1568DE1D" w14:textId="5B909A80" w:rsidR="005A68BC" w:rsidRDefault="00224F97" w:rsidP="002D49EE">
      <w:pPr>
        <w:spacing w:after="0"/>
        <w:ind w:left="1728" w:right="-14" w:hanging="1728"/>
        <w:rPr>
          <w:lang w:val="fr-CA"/>
        </w:rPr>
      </w:pPr>
      <w:r w:rsidRPr="003134BE">
        <w:rPr>
          <w:b/>
          <w:lang w:val="fr-CA"/>
        </w:rPr>
        <w:t>Des questions</w:t>
      </w:r>
      <w:r w:rsidR="00967C89">
        <w:rPr>
          <w:b/>
          <w:lang w:val="fr-CA"/>
        </w:rPr>
        <w:t xml:space="preserve"> </w:t>
      </w:r>
      <w:r w:rsidRPr="003134BE">
        <w:rPr>
          <w:b/>
          <w:lang w:val="fr-CA"/>
        </w:rPr>
        <w:t>?</w:t>
      </w:r>
      <w:r w:rsidR="0027046E" w:rsidRPr="003134BE">
        <w:rPr>
          <w:b/>
          <w:lang w:val="fr-CA"/>
        </w:rPr>
        <w:t xml:space="preserve"> </w:t>
      </w:r>
      <w:r w:rsidR="0027046E" w:rsidRPr="003134BE">
        <w:rPr>
          <w:lang w:val="fr-CA"/>
        </w:rPr>
        <w:tab/>
      </w:r>
      <w:r w:rsidR="00590935" w:rsidRPr="003134BE">
        <w:rPr>
          <w:lang w:val="fr-CA"/>
        </w:rPr>
        <w:t xml:space="preserve">Les </w:t>
      </w:r>
      <w:r w:rsidR="009431E3">
        <w:rPr>
          <w:lang w:val="fr-CA"/>
        </w:rPr>
        <w:t>greffes</w:t>
      </w:r>
      <w:r w:rsidR="00590935" w:rsidRPr="003134BE">
        <w:rPr>
          <w:lang w:val="fr-CA"/>
        </w:rPr>
        <w:t xml:space="preserve"> ne seront pas en mesure de répondre à vos questions concernant </w:t>
      </w:r>
      <w:r w:rsidR="009431E3">
        <w:rPr>
          <w:lang w:val="fr-CA"/>
        </w:rPr>
        <w:t>l’action collective mentionnée dans</w:t>
      </w:r>
      <w:r w:rsidR="00590935" w:rsidRPr="003134BE">
        <w:rPr>
          <w:lang w:val="fr-CA"/>
        </w:rPr>
        <w:t xml:space="preserve"> le présent avis.</w:t>
      </w:r>
      <w:r w:rsidR="0027046E" w:rsidRPr="003134BE">
        <w:rPr>
          <w:lang w:val="fr-CA"/>
        </w:rPr>
        <w:t xml:space="preserve"> </w:t>
      </w:r>
      <w:r w:rsidR="0068743F" w:rsidRPr="003134BE">
        <w:rPr>
          <w:lang w:val="fr-CA"/>
        </w:rPr>
        <w:t>Si vous avez des questions concernant l’ordonnance de certification ou l’action collective en général, des renseignements sont disponibles sur les sites </w:t>
      </w:r>
      <w:r w:rsidR="009431E3">
        <w:rPr>
          <w:lang w:val="fr-CA"/>
        </w:rPr>
        <w:t>w</w:t>
      </w:r>
      <w:r w:rsidR="0068743F" w:rsidRPr="003134BE">
        <w:rPr>
          <w:lang w:val="fr-CA"/>
        </w:rPr>
        <w:t>eb de</w:t>
      </w:r>
      <w:r w:rsidR="00985786">
        <w:rPr>
          <w:lang w:val="fr-CA"/>
        </w:rPr>
        <w:t xml:space="preserve">s </w:t>
      </w:r>
      <w:r w:rsidR="0068743F" w:rsidRPr="003134BE">
        <w:rPr>
          <w:lang w:val="fr-CA"/>
        </w:rPr>
        <w:t>avocat</w:t>
      </w:r>
      <w:r w:rsidR="00985786">
        <w:rPr>
          <w:lang w:val="fr-CA"/>
        </w:rPr>
        <w:t>s</w:t>
      </w:r>
      <w:r w:rsidR="0068743F" w:rsidRPr="003134BE">
        <w:rPr>
          <w:lang w:val="fr-CA"/>
        </w:rPr>
        <w:t xml:space="preserve"> du </w:t>
      </w:r>
      <w:r w:rsidR="00985786">
        <w:rPr>
          <w:lang w:val="fr-CA"/>
        </w:rPr>
        <w:t>G</w:t>
      </w:r>
      <w:r w:rsidR="0068743F" w:rsidRPr="003134BE">
        <w:rPr>
          <w:lang w:val="fr-CA"/>
        </w:rPr>
        <w:t xml:space="preserve">roupe : </w:t>
      </w:r>
      <w:r w:rsidR="0068743F" w:rsidRPr="003134BE">
        <w:rPr>
          <w:b/>
          <w:lang w:val="fr-CA"/>
        </w:rPr>
        <w:t>www.robinsappleby.com</w:t>
      </w:r>
      <w:r w:rsidR="0068743F" w:rsidRPr="003134BE">
        <w:rPr>
          <w:lang w:val="fr-CA"/>
        </w:rPr>
        <w:t xml:space="preserve"> </w:t>
      </w:r>
      <w:r w:rsidR="0068743F" w:rsidRPr="003134BE">
        <w:rPr>
          <w:b/>
          <w:lang w:val="fr-CA"/>
        </w:rPr>
        <w:t>OU www.mckenzielake.com</w:t>
      </w:r>
      <w:r w:rsidR="0068743F" w:rsidRPr="003134BE">
        <w:rPr>
          <w:lang w:val="fr-CA"/>
        </w:rPr>
        <w:t xml:space="preserve"> ou en communiquant directement avec l</w:t>
      </w:r>
      <w:r w:rsidR="00985786">
        <w:rPr>
          <w:lang w:val="fr-CA"/>
        </w:rPr>
        <w:t xml:space="preserve">es </w:t>
      </w:r>
      <w:r w:rsidR="0068743F" w:rsidRPr="003134BE">
        <w:rPr>
          <w:lang w:val="fr-CA"/>
        </w:rPr>
        <w:t>avocat</w:t>
      </w:r>
      <w:r w:rsidR="00985786">
        <w:rPr>
          <w:lang w:val="fr-CA"/>
        </w:rPr>
        <w:t>s</w:t>
      </w:r>
      <w:r w:rsidR="0068743F" w:rsidRPr="003134BE">
        <w:rPr>
          <w:lang w:val="fr-CA"/>
        </w:rPr>
        <w:t xml:space="preserve"> du Groupe aux coordonnées suivantes :</w:t>
      </w:r>
    </w:p>
    <w:p w14:paraId="13135C09" w14:textId="77777777" w:rsidR="00985786" w:rsidRPr="003134BE" w:rsidRDefault="00985786" w:rsidP="002D49EE">
      <w:pPr>
        <w:spacing w:after="0"/>
        <w:ind w:left="1728" w:right="-14" w:hanging="1728"/>
        <w:rPr>
          <w:lang w:val="fr-CA"/>
        </w:rPr>
      </w:pPr>
      <w:r>
        <w:rPr>
          <w:b/>
          <w:lang w:val="fr-CA"/>
        </w:rPr>
        <w:tab/>
      </w:r>
    </w:p>
    <w:tbl>
      <w:tblPr>
        <w:tblStyle w:val="TableGrid0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4138"/>
      </w:tblGrid>
      <w:tr w:rsidR="00985786" w14:paraId="1F28E444" w14:textId="77777777" w:rsidTr="008F04AD">
        <w:tc>
          <w:tcPr>
            <w:tcW w:w="4675" w:type="dxa"/>
          </w:tcPr>
          <w:p w14:paraId="15C0F3F3" w14:textId="59292D0B" w:rsidR="00985786" w:rsidRDefault="00985786" w:rsidP="002D49EE">
            <w:pPr>
              <w:spacing w:after="0"/>
              <w:ind w:left="0" w:right="-14" w:firstLine="0"/>
              <w:rPr>
                <w:lang w:val="fr-CA"/>
              </w:rPr>
            </w:pPr>
            <w:r w:rsidRPr="003134BE">
              <w:rPr>
                <w:b/>
                <w:lang w:val="fr-CA"/>
              </w:rPr>
              <w:t>Robins Appleby LLP</w:t>
            </w:r>
          </w:p>
        </w:tc>
        <w:tc>
          <w:tcPr>
            <w:tcW w:w="4675" w:type="dxa"/>
          </w:tcPr>
          <w:p w14:paraId="265B7F21" w14:textId="507FF082" w:rsidR="00985786" w:rsidRDefault="00985786" w:rsidP="002D49EE">
            <w:pPr>
              <w:spacing w:after="0"/>
              <w:ind w:left="0" w:right="-14" w:firstLine="0"/>
              <w:rPr>
                <w:lang w:val="fr-CA"/>
              </w:rPr>
            </w:pPr>
            <w:r w:rsidRPr="003134BE">
              <w:rPr>
                <w:b/>
                <w:lang w:val="fr-CA"/>
              </w:rPr>
              <w:t>Tél.</w:t>
            </w:r>
            <w:r w:rsidRPr="003134BE">
              <w:rPr>
                <w:lang w:val="fr-CA"/>
              </w:rPr>
              <w:t> : 1-877-221-9131 (sans frais)</w:t>
            </w:r>
          </w:p>
        </w:tc>
      </w:tr>
      <w:tr w:rsidR="00985786" w14:paraId="64435926" w14:textId="77777777" w:rsidTr="008F04AD">
        <w:tc>
          <w:tcPr>
            <w:tcW w:w="4675" w:type="dxa"/>
          </w:tcPr>
          <w:p w14:paraId="7EC9BEEB" w14:textId="77777777" w:rsidR="00985786" w:rsidRDefault="00985786" w:rsidP="002D49EE">
            <w:pPr>
              <w:spacing w:after="0"/>
              <w:ind w:left="0" w:right="-14" w:firstLine="0"/>
              <w:rPr>
                <w:lang w:val="fr-CA"/>
              </w:rPr>
            </w:pPr>
          </w:p>
        </w:tc>
        <w:tc>
          <w:tcPr>
            <w:tcW w:w="4675" w:type="dxa"/>
          </w:tcPr>
          <w:p w14:paraId="3F262638" w14:textId="33AA20AC" w:rsidR="00985786" w:rsidRDefault="00985786" w:rsidP="002D49EE">
            <w:pPr>
              <w:spacing w:after="0"/>
              <w:ind w:left="0" w:right="-14" w:firstLine="0"/>
              <w:rPr>
                <w:lang w:val="fr-CA"/>
              </w:rPr>
            </w:pPr>
            <w:r w:rsidRPr="003134BE">
              <w:rPr>
                <w:rStyle w:val="Hyperlink"/>
                <w:b/>
                <w:color w:val="000000"/>
                <w:u w:val="none"/>
                <w:lang w:val="fr-CA"/>
              </w:rPr>
              <w:t>Courriel :</w:t>
            </w:r>
            <w:r w:rsidR="009431E3">
              <w:rPr>
                <w:rStyle w:val="Hyperlink"/>
                <w:b/>
                <w:color w:val="000000"/>
                <w:u w:val="none"/>
                <w:lang w:val="fr-CA"/>
              </w:rPr>
              <w:t xml:space="preserve"> </w:t>
            </w:r>
            <w:hyperlink r:id="rId8" w:history="1">
              <w:r w:rsidR="009431E3" w:rsidRPr="0066308A">
                <w:rPr>
                  <w:rStyle w:val="Hyperlink"/>
                  <w:color w:val="auto"/>
                  <w:u w:val="none"/>
                  <w:lang w:val="fr-CA"/>
                </w:rPr>
                <w:t>fordclassaction@robapp.com</w:t>
              </w:r>
            </w:hyperlink>
          </w:p>
          <w:p w14:paraId="1CAE42BF" w14:textId="367EF267" w:rsidR="00985786" w:rsidRDefault="00985786" w:rsidP="002D49EE">
            <w:pPr>
              <w:spacing w:after="0"/>
              <w:ind w:left="0" w:right="-14" w:firstLine="0"/>
              <w:rPr>
                <w:lang w:val="fr-CA"/>
              </w:rPr>
            </w:pPr>
          </w:p>
        </w:tc>
      </w:tr>
      <w:tr w:rsidR="00985786" w14:paraId="3294C52C" w14:textId="77777777" w:rsidTr="008F04AD">
        <w:tc>
          <w:tcPr>
            <w:tcW w:w="4675" w:type="dxa"/>
          </w:tcPr>
          <w:p w14:paraId="06BFF6C0" w14:textId="4D23C1EE" w:rsidR="00985786" w:rsidRDefault="00985786" w:rsidP="002D49EE">
            <w:pPr>
              <w:spacing w:after="0"/>
              <w:ind w:left="0" w:right="-14" w:firstLine="0"/>
              <w:rPr>
                <w:lang w:val="fr-CA"/>
              </w:rPr>
            </w:pPr>
            <w:r w:rsidRPr="003134BE">
              <w:rPr>
                <w:b/>
                <w:lang w:val="fr-CA"/>
              </w:rPr>
              <w:t>McKenzie Lake Lawyers LLP</w:t>
            </w:r>
          </w:p>
        </w:tc>
        <w:tc>
          <w:tcPr>
            <w:tcW w:w="4675" w:type="dxa"/>
          </w:tcPr>
          <w:p w14:paraId="0D69E577" w14:textId="5B3A833B" w:rsidR="00985786" w:rsidRDefault="00985786" w:rsidP="002D49EE">
            <w:pPr>
              <w:spacing w:after="0"/>
              <w:ind w:left="0" w:right="-14" w:firstLine="0"/>
              <w:rPr>
                <w:lang w:val="fr-CA"/>
              </w:rPr>
            </w:pPr>
            <w:r w:rsidRPr="003134BE">
              <w:rPr>
                <w:b/>
                <w:lang w:val="fr-CA"/>
              </w:rPr>
              <w:t>Tél.</w:t>
            </w:r>
            <w:r w:rsidRPr="003134BE">
              <w:rPr>
                <w:lang w:val="fr-CA"/>
              </w:rPr>
              <w:t> : 1-844-672-5666 (sans frais)</w:t>
            </w:r>
          </w:p>
        </w:tc>
      </w:tr>
      <w:tr w:rsidR="00985786" w14:paraId="08F5332A" w14:textId="77777777" w:rsidTr="008F04AD">
        <w:tc>
          <w:tcPr>
            <w:tcW w:w="4675" w:type="dxa"/>
          </w:tcPr>
          <w:p w14:paraId="105CF2A4" w14:textId="77777777" w:rsidR="00985786" w:rsidRDefault="00985786" w:rsidP="002D49EE">
            <w:pPr>
              <w:spacing w:after="0"/>
              <w:ind w:left="0" w:right="-14" w:firstLine="0"/>
              <w:rPr>
                <w:lang w:val="fr-CA"/>
              </w:rPr>
            </w:pPr>
          </w:p>
        </w:tc>
        <w:tc>
          <w:tcPr>
            <w:tcW w:w="4675" w:type="dxa"/>
          </w:tcPr>
          <w:p w14:paraId="58D54642" w14:textId="09AD3A3C" w:rsidR="00985786" w:rsidRDefault="00985786" w:rsidP="002D49EE">
            <w:pPr>
              <w:spacing w:after="0"/>
              <w:ind w:left="0" w:right="-14" w:firstLine="0"/>
              <w:rPr>
                <w:lang w:val="fr-CA"/>
              </w:rPr>
            </w:pPr>
            <w:r w:rsidRPr="003134BE">
              <w:rPr>
                <w:b/>
                <w:lang w:val="fr-CA"/>
              </w:rPr>
              <w:t>Courriel :</w:t>
            </w:r>
            <w:r w:rsidR="009431E3">
              <w:rPr>
                <w:b/>
                <w:lang w:val="fr-CA"/>
              </w:rPr>
              <w:t xml:space="preserve"> </w:t>
            </w:r>
            <w:r w:rsidRPr="003134BE">
              <w:rPr>
                <w:lang w:val="fr-CA"/>
              </w:rPr>
              <w:t>edwards@mckenzielake.com</w:t>
            </w:r>
          </w:p>
        </w:tc>
      </w:tr>
    </w:tbl>
    <w:p w14:paraId="405BFE07" w14:textId="22618AB7" w:rsidR="00985786" w:rsidRPr="003134BE" w:rsidRDefault="00985786" w:rsidP="002D49EE">
      <w:pPr>
        <w:spacing w:after="0"/>
        <w:ind w:left="1728" w:right="-14" w:hanging="1728"/>
        <w:rPr>
          <w:lang w:val="fr-CA"/>
        </w:rPr>
      </w:pPr>
    </w:p>
    <w:p w14:paraId="3EB65A2C" w14:textId="7B056653" w:rsidR="005A68BC" w:rsidRPr="003134BE" w:rsidRDefault="0074005C">
      <w:pPr>
        <w:tabs>
          <w:tab w:val="center" w:pos="2777"/>
          <w:tab w:val="center" w:pos="5676"/>
        </w:tabs>
        <w:spacing w:after="0"/>
        <w:ind w:left="0" w:firstLine="0"/>
        <w:jc w:val="left"/>
        <w:rPr>
          <w:lang w:val="fr-CA"/>
        </w:rPr>
      </w:pPr>
      <w:r w:rsidRPr="003134BE">
        <w:rPr>
          <w:b/>
          <w:lang w:val="fr-CA"/>
        </w:rPr>
        <w:t xml:space="preserve">         </w:t>
      </w:r>
      <w:r w:rsidRPr="003134BE">
        <w:rPr>
          <w:b/>
          <w:lang w:val="fr-CA"/>
        </w:rPr>
        <w:tab/>
        <w:t xml:space="preserve"> </w:t>
      </w:r>
      <w:r w:rsidRPr="003134BE">
        <w:rPr>
          <w:b/>
          <w:lang w:val="fr-CA"/>
        </w:rPr>
        <w:tab/>
      </w:r>
      <w:r w:rsidR="00230648" w:rsidRPr="003134BE">
        <w:rPr>
          <w:b/>
          <w:sz w:val="37"/>
          <w:vertAlign w:val="superscript"/>
          <w:lang w:val="fr-CA"/>
        </w:rPr>
        <w:tab/>
      </w:r>
      <w:r w:rsidR="00230648" w:rsidRPr="003134BE">
        <w:rPr>
          <w:b/>
          <w:sz w:val="37"/>
          <w:vertAlign w:val="superscript"/>
          <w:lang w:val="fr-CA"/>
        </w:rPr>
        <w:tab/>
      </w:r>
    </w:p>
    <w:p w14:paraId="19C0B219" w14:textId="77777777" w:rsidR="002D49EE" w:rsidRPr="003134BE" w:rsidRDefault="002D49EE" w:rsidP="008F04AD">
      <w:pPr>
        <w:spacing w:after="0"/>
        <w:ind w:left="0" w:firstLine="0"/>
        <w:rPr>
          <w:b/>
          <w:lang w:val="fr-CA"/>
        </w:rPr>
      </w:pPr>
    </w:p>
    <w:p w14:paraId="27037814" w14:textId="0091196E" w:rsidR="005A68BC" w:rsidRPr="003134BE" w:rsidRDefault="006C5357" w:rsidP="002D49EE">
      <w:pPr>
        <w:spacing w:after="0"/>
        <w:ind w:left="0" w:firstLine="0"/>
        <w:jc w:val="center"/>
        <w:rPr>
          <w:lang w:val="fr-CA"/>
        </w:rPr>
      </w:pPr>
      <w:r w:rsidRPr="003134BE">
        <w:rPr>
          <w:b/>
          <w:lang w:val="fr-CA"/>
        </w:rPr>
        <w:t>Le présent avis a été approuvé par une ordonnance de la Cour supérieure de justice de l’Ontario.</w:t>
      </w:r>
      <w:r w:rsidR="0027046E" w:rsidRPr="003134BE">
        <w:rPr>
          <w:rFonts w:ascii="Arial" w:eastAsia="Arial" w:hAnsi="Arial" w:cs="Arial"/>
          <w:sz w:val="15"/>
          <w:lang w:val="fr-CA"/>
        </w:rPr>
        <w:t xml:space="preserve"> </w:t>
      </w:r>
    </w:p>
    <w:sectPr w:rsidR="005A68BC" w:rsidRPr="003134BE">
      <w:headerReference w:type="default" r:id="rId9"/>
      <w:footerReference w:type="default" r:id="rId10"/>
      <w:pgSz w:w="12240" w:h="15840"/>
      <w:pgMar w:top="778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16851" w14:textId="77777777" w:rsidR="00F623B9" w:rsidRDefault="0027046E">
      <w:pPr>
        <w:spacing w:after="0"/>
      </w:pPr>
      <w:r>
        <w:separator/>
      </w:r>
    </w:p>
  </w:endnote>
  <w:endnote w:type="continuationSeparator" w:id="0">
    <w:p w14:paraId="3BACC123" w14:textId="77777777" w:rsidR="00F623B9" w:rsidRDefault="002704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5176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D2FBB" w14:textId="77577D53" w:rsidR="00B93002" w:rsidRDefault="002704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B6F053" w14:textId="47018020" w:rsidR="00C1564F" w:rsidRDefault="00C15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63802" w14:textId="77777777" w:rsidR="00F623B9" w:rsidRDefault="0027046E">
      <w:pPr>
        <w:spacing w:after="0"/>
      </w:pPr>
      <w:r>
        <w:separator/>
      </w:r>
    </w:p>
  </w:footnote>
  <w:footnote w:type="continuationSeparator" w:id="0">
    <w:p w14:paraId="1C205B15" w14:textId="77777777" w:rsidR="00F623B9" w:rsidRDefault="002704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FC585" w14:textId="77777777" w:rsidR="00C1564F" w:rsidRDefault="0027046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D4814"/>
    <w:multiLevelType w:val="hybridMultilevel"/>
    <w:tmpl w:val="BC2671D4"/>
    <w:lvl w:ilvl="0" w:tplc="7EF281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CD5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0F3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6F1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242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E38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19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A5B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6DF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nfowareStyleLastSpaceHistory" w:val="Balloon Text~0~12;Normal~0~12;"/>
  </w:docVars>
  <w:rsids>
    <w:rsidRoot w:val="005A68BC"/>
    <w:rsid w:val="00001B59"/>
    <w:rsid w:val="00040741"/>
    <w:rsid w:val="0006023A"/>
    <w:rsid w:val="000879D6"/>
    <w:rsid w:val="000B6019"/>
    <w:rsid w:val="000C3B43"/>
    <w:rsid w:val="000F3BAE"/>
    <w:rsid w:val="0012507D"/>
    <w:rsid w:val="001426C4"/>
    <w:rsid w:val="001500F8"/>
    <w:rsid w:val="001536C4"/>
    <w:rsid w:val="0016072E"/>
    <w:rsid w:val="00160A80"/>
    <w:rsid w:val="00163BBE"/>
    <w:rsid w:val="00172E3D"/>
    <w:rsid w:val="00181CA9"/>
    <w:rsid w:val="00185BBC"/>
    <w:rsid w:val="00224F97"/>
    <w:rsid w:val="00226322"/>
    <w:rsid w:val="00230648"/>
    <w:rsid w:val="00264D73"/>
    <w:rsid w:val="0027046E"/>
    <w:rsid w:val="00280E0D"/>
    <w:rsid w:val="00290B22"/>
    <w:rsid w:val="002B0697"/>
    <w:rsid w:val="002D49EE"/>
    <w:rsid w:val="003134BE"/>
    <w:rsid w:val="00334BFE"/>
    <w:rsid w:val="003353AE"/>
    <w:rsid w:val="00365B52"/>
    <w:rsid w:val="00376786"/>
    <w:rsid w:val="003831E6"/>
    <w:rsid w:val="003B1FE7"/>
    <w:rsid w:val="003D2543"/>
    <w:rsid w:val="00400BD3"/>
    <w:rsid w:val="004127E6"/>
    <w:rsid w:val="00454F9C"/>
    <w:rsid w:val="00455B88"/>
    <w:rsid w:val="004A2763"/>
    <w:rsid w:val="00504E64"/>
    <w:rsid w:val="00521B11"/>
    <w:rsid w:val="005564F2"/>
    <w:rsid w:val="00590935"/>
    <w:rsid w:val="00594792"/>
    <w:rsid w:val="005A68BC"/>
    <w:rsid w:val="005B652A"/>
    <w:rsid w:val="005F01F4"/>
    <w:rsid w:val="005F5840"/>
    <w:rsid w:val="006320BC"/>
    <w:rsid w:val="0066308A"/>
    <w:rsid w:val="00672FBB"/>
    <w:rsid w:val="00673CC6"/>
    <w:rsid w:val="00676986"/>
    <w:rsid w:val="00685850"/>
    <w:rsid w:val="0068743F"/>
    <w:rsid w:val="006B2A81"/>
    <w:rsid w:val="006C5357"/>
    <w:rsid w:val="006C67E8"/>
    <w:rsid w:val="006E3521"/>
    <w:rsid w:val="0073284C"/>
    <w:rsid w:val="0074005C"/>
    <w:rsid w:val="007713E4"/>
    <w:rsid w:val="0078760E"/>
    <w:rsid w:val="007E7021"/>
    <w:rsid w:val="007F5663"/>
    <w:rsid w:val="00801D1C"/>
    <w:rsid w:val="00813259"/>
    <w:rsid w:val="00841780"/>
    <w:rsid w:val="008452C5"/>
    <w:rsid w:val="00886EE0"/>
    <w:rsid w:val="0089222A"/>
    <w:rsid w:val="00893E9C"/>
    <w:rsid w:val="008965D6"/>
    <w:rsid w:val="008E5672"/>
    <w:rsid w:val="008F04AD"/>
    <w:rsid w:val="00900CF9"/>
    <w:rsid w:val="009431E3"/>
    <w:rsid w:val="00966CE9"/>
    <w:rsid w:val="00967C89"/>
    <w:rsid w:val="00985786"/>
    <w:rsid w:val="009954B2"/>
    <w:rsid w:val="00997FF4"/>
    <w:rsid w:val="009A188B"/>
    <w:rsid w:val="009B3157"/>
    <w:rsid w:val="009B71D2"/>
    <w:rsid w:val="009E6F93"/>
    <w:rsid w:val="00A06528"/>
    <w:rsid w:val="00A37E51"/>
    <w:rsid w:val="00A40F35"/>
    <w:rsid w:val="00A72F2A"/>
    <w:rsid w:val="00A7493C"/>
    <w:rsid w:val="00A757AD"/>
    <w:rsid w:val="00A75F79"/>
    <w:rsid w:val="00AA6A97"/>
    <w:rsid w:val="00AC05AD"/>
    <w:rsid w:val="00B244AF"/>
    <w:rsid w:val="00B263F3"/>
    <w:rsid w:val="00B41AAF"/>
    <w:rsid w:val="00B45B67"/>
    <w:rsid w:val="00B62C27"/>
    <w:rsid w:val="00B93002"/>
    <w:rsid w:val="00BA2974"/>
    <w:rsid w:val="00BA5701"/>
    <w:rsid w:val="00BB7429"/>
    <w:rsid w:val="00BD2AF7"/>
    <w:rsid w:val="00BE0733"/>
    <w:rsid w:val="00BE3105"/>
    <w:rsid w:val="00C03550"/>
    <w:rsid w:val="00C04157"/>
    <w:rsid w:val="00C06651"/>
    <w:rsid w:val="00C143BF"/>
    <w:rsid w:val="00C1564F"/>
    <w:rsid w:val="00C4482E"/>
    <w:rsid w:val="00C86D4C"/>
    <w:rsid w:val="00C91FC5"/>
    <w:rsid w:val="00CE1F88"/>
    <w:rsid w:val="00CE3574"/>
    <w:rsid w:val="00CE4326"/>
    <w:rsid w:val="00D43520"/>
    <w:rsid w:val="00D662C5"/>
    <w:rsid w:val="00DD5B8F"/>
    <w:rsid w:val="00E02B60"/>
    <w:rsid w:val="00E05DB9"/>
    <w:rsid w:val="00E232AC"/>
    <w:rsid w:val="00E55102"/>
    <w:rsid w:val="00E74D89"/>
    <w:rsid w:val="00ED1FAB"/>
    <w:rsid w:val="00ED4BAC"/>
    <w:rsid w:val="00EE02AD"/>
    <w:rsid w:val="00EE2CC8"/>
    <w:rsid w:val="00F067A8"/>
    <w:rsid w:val="00F30058"/>
    <w:rsid w:val="00F40291"/>
    <w:rsid w:val="00F623B9"/>
    <w:rsid w:val="00F67A3A"/>
    <w:rsid w:val="00F67B74"/>
    <w:rsid w:val="00F77C95"/>
    <w:rsid w:val="00F83E66"/>
    <w:rsid w:val="00F854BC"/>
    <w:rsid w:val="00F92598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613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0" w:lineRule="auto"/>
      <w:ind w:left="173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05C"/>
    <w:pPr>
      <w:spacing w:after="0" w:line="36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5C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7FF4"/>
    <w:pPr>
      <w:tabs>
        <w:tab w:val="center" w:pos="4680"/>
        <w:tab w:val="right" w:pos="9360"/>
      </w:tabs>
      <w:spacing w:after="0" w:line="36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F4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97FF4"/>
    <w:pPr>
      <w:tabs>
        <w:tab w:val="center" w:pos="4680"/>
        <w:tab w:val="right" w:pos="9360"/>
      </w:tabs>
      <w:spacing w:after="0" w:line="36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FF4"/>
    <w:rPr>
      <w:rFonts w:ascii="Calibri" w:eastAsia="Calibri" w:hAnsi="Calibri" w:cs="Calibri"/>
      <w:color w:val="000000"/>
      <w:sz w:val="24"/>
    </w:rPr>
  </w:style>
  <w:style w:type="paragraph" w:customStyle="1" w:styleId="DocsID">
    <w:name w:val="DocsID"/>
    <w:basedOn w:val="Normal"/>
    <w:rsid w:val="00C1564F"/>
    <w:pPr>
      <w:spacing w:before="20" w:after="0" w:line="36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C67E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5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5786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8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6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78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786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E35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dclassaction@robap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0EDC-B135-4185-8456-E2B718B5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2021-08-26T18:04:00Z</dcterms:created>
  <dcterms:modified xsi:type="dcterms:W3CDTF">2021-12-23T18:26:00Z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/>
  </property>
</Properties>
</file>